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E6F2F" w14:textId="77777777" w:rsidR="00B47F1C" w:rsidRPr="00490B2E" w:rsidRDefault="00C94276">
      <w:pPr>
        <w:spacing w:after="20" w:line="240" w:lineRule="auto"/>
        <w:jc w:val="center"/>
        <w:rPr>
          <w:lang w:val="it-IT"/>
        </w:rPr>
      </w:pPr>
      <w:r w:rsidRPr="00490B2E">
        <w:rPr>
          <w:b/>
          <w:sz w:val="22"/>
          <w:lang w:val="it-IT"/>
        </w:rPr>
        <w:t>PRÍLOHA Č. 2 K ZMLUVE O DIELO</w:t>
      </w:r>
    </w:p>
    <w:p w14:paraId="269C32D2" w14:textId="77777777" w:rsidR="00B47F1C" w:rsidRPr="00490B2E" w:rsidRDefault="00C94276">
      <w:pPr>
        <w:spacing w:after="20" w:line="240" w:lineRule="auto"/>
        <w:jc w:val="center"/>
        <w:rPr>
          <w:lang w:val="it-IT"/>
        </w:rPr>
      </w:pPr>
      <w:r w:rsidRPr="00490B2E">
        <w:rPr>
          <w:b/>
          <w:sz w:val="30"/>
          <w:lang w:val="it-IT"/>
        </w:rPr>
        <w:t>ZÁVÄZNÝ RÁMCOVÝ HARMONOGRAM REALIZÁCIE DIELA</w:t>
      </w:r>
    </w:p>
    <w:p w14:paraId="51566679" w14:textId="04E4D2D5" w:rsidR="00B47F1C" w:rsidRPr="00490B2E" w:rsidRDefault="00C94276">
      <w:pPr>
        <w:spacing w:after="20" w:line="240" w:lineRule="auto"/>
        <w:jc w:val="center"/>
        <w:rPr>
          <w:lang w:val="it-IT"/>
        </w:rPr>
      </w:pPr>
      <w:r w:rsidRPr="00490B2E">
        <w:rPr>
          <w:i/>
          <w:lang w:val="it-IT"/>
        </w:rPr>
        <w:t xml:space="preserve">„Prístavba </w:t>
      </w:r>
      <w:r w:rsidR="00490B2E" w:rsidRPr="00490B2E">
        <w:rPr>
          <w:i/>
          <w:lang w:val="it-IT"/>
        </w:rPr>
        <w:t>budovy - BEL</w:t>
      </w:r>
      <w:r w:rsidRPr="00490B2E">
        <w:rPr>
          <w:i/>
          <w:lang w:val="it-IT"/>
        </w:rPr>
        <w:t>“</w:t>
      </w:r>
    </w:p>
    <w:p w14:paraId="7AA61508" w14:textId="77777777" w:rsidR="00B47F1C" w:rsidRDefault="00C94276">
      <w:pPr>
        <w:spacing w:after="20" w:line="240" w:lineRule="auto"/>
      </w:pPr>
      <w:r>
        <w:rPr>
          <w:b/>
        </w:rPr>
        <w:t xml:space="preserve">Východiskový dátum T: </w:t>
      </w:r>
      <w:r>
        <w:t>deň protokolárneho prevzatia staveniska alebo deň, keď sa stavenisko podľa zmluvy považuje za prevzaté fikciou. Lehoty začínajú plynúť dňom nasledujúcim po dni T.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00"/>
        <w:gridCol w:w="3400"/>
        <w:gridCol w:w="5216"/>
      </w:tblGrid>
      <w:tr w:rsidR="00B47F1C" w14:paraId="31919398" w14:textId="77777777">
        <w:trPr>
          <w:jc w:val="center"/>
        </w:trPr>
        <w:tc>
          <w:tcPr>
            <w:tcW w:w="3400" w:type="dxa"/>
            <w:shd w:val="clear" w:color="auto" w:fill="1F4E78"/>
            <w:vAlign w:val="center"/>
          </w:tcPr>
          <w:p w14:paraId="5081D562" w14:textId="77777777" w:rsidR="00B47F1C" w:rsidRDefault="00C94276">
            <w:pPr>
              <w:spacing w:after="0" w:line="221" w:lineRule="auto"/>
              <w:jc w:val="center"/>
            </w:pPr>
            <w:r>
              <w:rPr>
                <w:b/>
                <w:color w:val="FFFFFF"/>
                <w:sz w:val="15"/>
              </w:rPr>
              <w:t>Úkon / etapa</w:t>
            </w:r>
          </w:p>
        </w:tc>
        <w:tc>
          <w:tcPr>
            <w:tcW w:w="3400" w:type="dxa"/>
            <w:shd w:val="clear" w:color="auto" w:fill="1F4E78"/>
            <w:vAlign w:val="center"/>
          </w:tcPr>
          <w:p w14:paraId="1FE3E5A6" w14:textId="77777777" w:rsidR="00B47F1C" w:rsidRDefault="00C94276">
            <w:pPr>
              <w:spacing w:after="0" w:line="221" w:lineRule="auto"/>
              <w:jc w:val="center"/>
            </w:pPr>
            <w:r>
              <w:rPr>
                <w:b/>
                <w:color w:val="FFFFFF"/>
                <w:sz w:val="15"/>
              </w:rPr>
              <w:t>Záväzný termín</w:t>
            </w:r>
          </w:p>
        </w:tc>
        <w:tc>
          <w:tcPr>
            <w:tcW w:w="3400" w:type="dxa"/>
            <w:shd w:val="clear" w:color="auto" w:fill="1F4E78"/>
            <w:vAlign w:val="center"/>
          </w:tcPr>
          <w:p w14:paraId="04EDCB01" w14:textId="77777777" w:rsidR="00B47F1C" w:rsidRDefault="00C94276">
            <w:pPr>
              <w:spacing w:after="0" w:line="221" w:lineRule="auto"/>
              <w:jc w:val="center"/>
            </w:pPr>
            <w:r>
              <w:rPr>
                <w:b/>
                <w:color w:val="FFFFFF"/>
                <w:sz w:val="15"/>
              </w:rPr>
              <w:t>Rozsah a podmienky</w:t>
            </w:r>
          </w:p>
        </w:tc>
      </w:tr>
      <w:tr w:rsidR="00B47F1C" w14:paraId="0B15B366" w14:textId="77777777">
        <w:trPr>
          <w:jc w:val="center"/>
        </w:trPr>
        <w:tc>
          <w:tcPr>
            <w:tcW w:w="2438" w:type="dxa"/>
          </w:tcPr>
          <w:p w14:paraId="38D80AD5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Účinnosť zmluvy</w:t>
            </w:r>
          </w:p>
        </w:tc>
        <w:tc>
          <w:tcPr>
            <w:tcW w:w="2381" w:type="dxa"/>
          </w:tcPr>
          <w:p w14:paraId="53245456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deň podpisu oboma stranami</w:t>
            </w:r>
          </w:p>
        </w:tc>
        <w:tc>
          <w:tcPr>
            <w:tcW w:w="5216" w:type="dxa"/>
          </w:tcPr>
          <w:p w14:paraId="33C4419B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Zmluva nemá odkladaciu podmienku účinnosti.</w:t>
            </w:r>
          </w:p>
        </w:tc>
      </w:tr>
      <w:tr w:rsidR="00B47F1C" w14:paraId="75E975CA" w14:textId="77777777">
        <w:trPr>
          <w:jc w:val="center"/>
        </w:trPr>
        <w:tc>
          <w:tcPr>
            <w:tcW w:w="2438" w:type="dxa"/>
          </w:tcPr>
          <w:p w14:paraId="5A900C98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Písomná výzva objednávateľa</w:t>
            </w:r>
          </w:p>
        </w:tc>
        <w:tc>
          <w:tcPr>
            <w:tcW w:w="2381" w:type="dxa"/>
          </w:tcPr>
          <w:p w14:paraId="63401A6E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po účinnosti zmluvy</w:t>
            </w:r>
          </w:p>
        </w:tc>
        <w:tc>
          <w:tcPr>
            <w:tcW w:w="5216" w:type="dxa"/>
          </w:tcPr>
          <w:p w14:paraId="2D42C76D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Objednávateľ vyzve zhotoviteľa na prevzatie staveniska písomne.</w:t>
            </w:r>
          </w:p>
        </w:tc>
      </w:tr>
      <w:tr w:rsidR="00B47F1C" w:rsidRPr="00490B2E" w14:paraId="3F402B42" w14:textId="77777777">
        <w:trPr>
          <w:jc w:val="center"/>
        </w:trPr>
        <w:tc>
          <w:tcPr>
            <w:tcW w:w="2438" w:type="dxa"/>
          </w:tcPr>
          <w:p w14:paraId="1858B461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Prevzatie staveniska</w:t>
            </w:r>
          </w:p>
        </w:tc>
        <w:tc>
          <w:tcPr>
            <w:tcW w:w="2381" w:type="dxa"/>
          </w:tcPr>
          <w:p w14:paraId="1E0CB998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najneskôr do 10 kalendárnych dní od doručenia výzvy</w:t>
            </w:r>
          </w:p>
        </w:tc>
        <w:tc>
          <w:tcPr>
            <w:tcW w:w="5216" w:type="dxa"/>
          </w:tcPr>
          <w:p w14:paraId="6938B337" w14:textId="77777777" w:rsidR="00B47F1C" w:rsidRPr="00490B2E" w:rsidRDefault="00C94276">
            <w:pPr>
              <w:spacing w:after="0" w:line="221" w:lineRule="auto"/>
              <w:rPr>
                <w:lang w:val="it-IT"/>
              </w:rPr>
            </w:pPr>
            <w:r w:rsidRPr="00490B2E">
              <w:rPr>
                <w:sz w:val="15"/>
                <w:lang w:val="it-IT"/>
              </w:rPr>
              <w:t>O prevzatí sa spíše protokol. Pri bezdôvodnom neposkytnutí súčinnosti platí fikcia prevzatia podľa zmluvy.</w:t>
            </w:r>
          </w:p>
        </w:tc>
      </w:tr>
      <w:tr w:rsidR="00B47F1C" w14:paraId="4F9F9D8C" w14:textId="77777777">
        <w:trPr>
          <w:jc w:val="center"/>
        </w:trPr>
        <w:tc>
          <w:tcPr>
            <w:tcW w:w="2438" w:type="dxa"/>
          </w:tcPr>
          <w:p w14:paraId="1BC85A7F" w14:textId="77777777" w:rsidR="00B47F1C" w:rsidRDefault="00C94276">
            <w:pPr>
              <w:spacing w:after="0" w:line="221" w:lineRule="auto"/>
            </w:pPr>
            <w:proofErr w:type="spellStart"/>
            <w:r>
              <w:rPr>
                <w:sz w:val="15"/>
              </w:rPr>
              <w:t>Začatie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stavebných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prác</w:t>
            </w:r>
            <w:proofErr w:type="spellEnd"/>
          </w:p>
        </w:tc>
        <w:tc>
          <w:tcPr>
            <w:tcW w:w="2381" w:type="dxa"/>
          </w:tcPr>
          <w:p w14:paraId="7044739B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bezodkladne po prevzatí staveniska</w:t>
            </w:r>
          </w:p>
        </w:tc>
        <w:tc>
          <w:tcPr>
            <w:tcW w:w="5216" w:type="dxa"/>
          </w:tcPr>
          <w:p w14:paraId="0D13E75D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Zhotoviteľ začne a riadne pokračuje v realizácii pri plnej výrobnej prevádzke objednávateľa.</w:t>
            </w:r>
          </w:p>
        </w:tc>
      </w:tr>
      <w:tr w:rsidR="00B47F1C" w14:paraId="4DE007AC" w14:textId="77777777">
        <w:trPr>
          <w:jc w:val="center"/>
        </w:trPr>
        <w:tc>
          <w:tcPr>
            <w:tcW w:w="2438" w:type="dxa"/>
          </w:tcPr>
          <w:p w14:paraId="396BD7A1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Podrobný realizačný harmonogram</w:t>
            </w:r>
          </w:p>
        </w:tc>
        <w:tc>
          <w:tcPr>
            <w:tcW w:w="2381" w:type="dxa"/>
          </w:tcPr>
          <w:p w14:paraId="793C182C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do 5 pracovných dní od prevzatia staveniska</w:t>
            </w:r>
          </w:p>
        </w:tc>
        <w:tc>
          <w:tcPr>
            <w:tcW w:w="5216" w:type="dxa"/>
          </w:tcPr>
          <w:p w14:paraId="11784447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Zhotoviteľ ho predloží objednávateľovi. Nesmie meniť rozsah častí ani záväzné lehoty podľa tejto prílohy a zmluvy.</w:t>
            </w:r>
          </w:p>
        </w:tc>
      </w:tr>
      <w:tr w:rsidR="00B47F1C" w14:paraId="1DBDE352" w14:textId="77777777">
        <w:trPr>
          <w:jc w:val="center"/>
        </w:trPr>
        <w:tc>
          <w:tcPr>
            <w:tcW w:w="2438" w:type="dxa"/>
            <w:shd w:val="clear" w:color="auto" w:fill="D9EAF7"/>
          </w:tcPr>
          <w:p w14:paraId="26932DF3" w14:textId="77777777" w:rsidR="00B47F1C" w:rsidRDefault="00C94276">
            <w:pPr>
              <w:spacing w:after="0" w:line="221" w:lineRule="auto"/>
            </w:pPr>
            <w:r>
              <w:rPr>
                <w:b/>
                <w:sz w:val="15"/>
              </w:rPr>
              <w:t>ČASŤ 1 – všetky práce okrem SO 01, PČ 65 až 76</w:t>
            </w:r>
          </w:p>
        </w:tc>
        <w:tc>
          <w:tcPr>
            <w:tcW w:w="2381" w:type="dxa"/>
            <w:shd w:val="clear" w:color="auto" w:fill="D9EAF7"/>
          </w:tcPr>
          <w:p w14:paraId="77567C4B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najneskôr do 4 kalendárnych mesiacov od T</w:t>
            </w:r>
          </w:p>
        </w:tc>
        <w:tc>
          <w:tcPr>
            <w:tcW w:w="5216" w:type="dxa"/>
            <w:shd w:val="clear" w:color="auto" w:fill="D9EAF7"/>
          </w:tcPr>
          <w:p w14:paraId="4BEB5237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Musí byť dokončené absolútne celé dielo okrem položiek Časti 2, vrátane celého SO 02, celého SO 03 a všetkých ostatných položiek SO 01. Súčasne musí byť dosiahnutá stavebná pripravenosť na dopravu, osadenie a montáž technológie.</w:t>
            </w:r>
          </w:p>
        </w:tc>
      </w:tr>
      <w:tr w:rsidR="00B47F1C" w14:paraId="2605FC86" w14:textId="77777777">
        <w:trPr>
          <w:jc w:val="center"/>
        </w:trPr>
        <w:tc>
          <w:tcPr>
            <w:tcW w:w="2438" w:type="dxa"/>
          </w:tcPr>
          <w:p w14:paraId="18C68461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Kontrola splnenia Časti 1</w:t>
            </w:r>
          </w:p>
        </w:tc>
        <w:tc>
          <w:tcPr>
            <w:tcW w:w="2381" w:type="dxa"/>
          </w:tcPr>
          <w:p w14:paraId="12D12A93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najneskôr v posledný deň 4-mesačnej lehoty</w:t>
            </w:r>
          </w:p>
        </w:tc>
        <w:tc>
          <w:tcPr>
            <w:tcW w:w="5216" w:type="dxa"/>
          </w:tcPr>
          <w:p w14:paraId="7D5AF8C1" w14:textId="77777777" w:rsidR="00B47F1C" w:rsidRDefault="00C94276">
            <w:pPr>
              <w:spacing w:after="0" w:line="221" w:lineRule="auto"/>
            </w:pPr>
            <w:r w:rsidRPr="00490B2E">
              <w:rPr>
                <w:sz w:val="15"/>
                <w:lang w:val="it-IT"/>
              </w:rPr>
              <w:t xml:space="preserve">Spíše sa protokol o splnení Čiastkového termínu a stavebnej pripravenosti. </w:t>
            </w:r>
            <w:proofErr w:type="spellStart"/>
            <w:r>
              <w:rPr>
                <w:sz w:val="15"/>
              </w:rPr>
              <w:t>Nejde</w:t>
            </w:r>
            <w:proofErr w:type="spellEnd"/>
            <w:r>
              <w:rPr>
                <w:sz w:val="15"/>
              </w:rPr>
              <w:t xml:space="preserve"> o </w:t>
            </w:r>
            <w:proofErr w:type="spellStart"/>
            <w:r>
              <w:rPr>
                <w:sz w:val="15"/>
              </w:rPr>
              <w:t>odovzdanie</w:t>
            </w:r>
            <w:proofErr w:type="spellEnd"/>
            <w:r>
              <w:rPr>
                <w:sz w:val="15"/>
              </w:rPr>
              <w:t xml:space="preserve"> ani prevzatie diela alebo jeho časti.</w:t>
            </w:r>
          </w:p>
        </w:tc>
      </w:tr>
      <w:tr w:rsidR="00B47F1C" w14:paraId="338F3DA8" w14:textId="77777777">
        <w:trPr>
          <w:jc w:val="center"/>
        </w:trPr>
        <w:tc>
          <w:tcPr>
            <w:tcW w:w="2438" w:type="dxa"/>
            <w:shd w:val="clear" w:color="auto" w:fill="D9EAF7"/>
          </w:tcPr>
          <w:p w14:paraId="4EB5769F" w14:textId="77777777" w:rsidR="00B47F1C" w:rsidRDefault="00C94276">
            <w:pPr>
              <w:spacing w:after="0" w:line="221" w:lineRule="auto"/>
            </w:pPr>
            <w:r>
              <w:rPr>
                <w:b/>
                <w:sz w:val="15"/>
              </w:rPr>
              <w:t>ČASŤ 2 – výlučne SO 01, PČ 65 až 76</w:t>
            </w:r>
          </w:p>
        </w:tc>
        <w:tc>
          <w:tcPr>
            <w:tcW w:w="2381" w:type="dxa"/>
            <w:shd w:val="clear" w:color="auto" w:fill="D9EAF7"/>
          </w:tcPr>
          <w:p w14:paraId="229498B7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najneskôr do 8 kalendárnych mesiacov od T</w:t>
            </w:r>
          </w:p>
        </w:tc>
        <w:tc>
          <w:tcPr>
            <w:tcW w:w="5216" w:type="dxa"/>
            <w:shd w:val="clear" w:color="auto" w:fill="D9EAF7"/>
          </w:tcPr>
          <w:p w14:paraId="39B36DFC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Položky 65 až 76 vrátane všetkých riadkov VV. Práce možno realizovať od začiatku výstavby a súbežne s Časťou 1; nie je potrebné čakať na dokončenie Časti 1.</w:t>
            </w:r>
          </w:p>
        </w:tc>
      </w:tr>
      <w:tr w:rsidR="00B47F1C" w14:paraId="1FF32551" w14:textId="77777777">
        <w:trPr>
          <w:jc w:val="center"/>
        </w:trPr>
        <w:tc>
          <w:tcPr>
            <w:tcW w:w="2438" w:type="dxa"/>
          </w:tcPr>
          <w:p w14:paraId="193D1918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Montáž technológie treťou osobou</w:t>
            </w:r>
          </w:p>
        </w:tc>
        <w:tc>
          <w:tcPr>
            <w:tcW w:w="2381" w:type="dxa"/>
          </w:tcPr>
          <w:p w14:paraId="57F876FF" w14:textId="77777777" w:rsidR="00B47F1C" w:rsidRPr="00490B2E" w:rsidRDefault="00C94276">
            <w:pPr>
              <w:spacing w:after="0" w:line="221" w:lineRule="auto"/>
              <w:rPr>
                <w:lang w:val="it-IT"/>
              </w:rPr>
            </w:pPr>
            <w:r w:rsidRPr="00490B2E">
              <w:rPr>
                <w:sz w:val="15"/>
                <w:lang w:val="it-IT"/>
              </w:rPr>
              <w:t>po potvrdení stavebnej pripravenosti, podľa koordinácie</w:t>
            </w:r>
          </w:p>
        </w:tc>
        <w:tc>
          <w:tcPr>
            <w:tcW w:w="5216" w:type="dxa"/>
          </w:tcPr>
          <w:p w14:paraId="71FA0733" w14:textId="77777777" w:rsidR="00B47F1C" w:rsidRDefault="00C94276">
            <w:pPr>
              <w:spacing w:after="0" w:line="221" w:lineRule="auto"/>
            </w:pPr>
            <w:r w:rsidRPr="00490B2E">
              <w:rPr>
                <w:sz w:val="15"/>
                <w:lang w:val="it-IT"/>
              </w:rPr>
              <w:t xml:space="preserve">Zhotoviteľ umožní a koordinuje vstup, dopravu a montáž technológie. </w:t>
            </w:r>
            <w:proofErr w:type="spellStart"/>
            <w:r>
              <w:rPr>
                <w:sz w:val="15"/>
              </w:rPr>
              <w:t>Súbežná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montáž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sama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osebe</w:t>
            </w:r>
            <w:proofErr w:type="spellEnd"/>
            <w:r>
              <w:rPr>
                <w:sz w:val="15"/>
              </w:rPr>
              <w:t xml:space="preserve"> nemení záväzné lehoty.</w:t>
            </w:r>
          </w:p>
        </w:tc>
      </w:tr>
      <w:tr w:rsidR="00B47F1C" w14:paraId="519D9313" w14:textId="77777777">
        <w:trPr>
          <w:jc w:val="center"/>
        </w:trPr>
        <w:tc>
          <w:tcPr>
            <w:tcW w:w="2438" w:type="dxa"/>
          </w:tcPr>
          <w:p w14:paraId="4DEB5C95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Odovzdávacia dokumentácia</w:t>
            </w:r>
          </w:p>
        </w:tc>
        <w:tc>
          <w:tcPr>
            <w:tcW w:w="2381" w:type="dxa"/>
          </w:tcPr>
          <w:p w14:paraId="594B96E5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najneskôr 5 pracovných dní pred preberacím konaním</w:t>
            </w:r>
          </w:p>
        </w:tc>
        <w:tc>
          <w:tcPr>
            <w:tcW w:w="5216" w:type="dxa"/>
          </w:tcPr>
          <w:p w14:paraId="43E8B611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Doklady podľa zmluvy musia byť úplné; bez nich sa dielo nepovažuje za pripravené na prevzatie.</w:t>
            </w:r>
          </w:p>
        </w:tc>
      </w:tr>
      <w:tr w:rsidR="00B47F1C" w14:paraId="38D3CB22" w14:textId="77777777">
        <w:trPr>
          <w:jc w:val="center"/>
        </w:trPr>
        <w:tc>
          <w:tcPr>
            <w:tcW w:w="2438" w:type="dxa"/>
            <w:shd w:val="clear" w:color="auto" w:fill="D9EAF7"/>
          </w:tcPr>
          <w:p w14:paraId="25202522" w14:textId="77777777" w:rsidR="00B47F1C" w:rsidRPr="00490B2E" w:rsidRDefault="00C94276">
            <w:pPr>
              <w:spacing w:after="0" w:line="221" w:lineRule="auto"/>
              <w:rPr>
                <w:lang w:val="it-IT"/>
              </w:rPr>
            </w:pPr>
            <w:r w:rsidRPr="00490B2E">
              <w:rPr>
                <w:b/>
                <w:sz w:val="15"/>
                <w:lang w:val="it-IT"/>
              </w:rPr>
              <w:t>Konečné dokončenie a prevzatie celého diela</w:t>
            </w:r>
          </w:p>
        </w:tc>
        <w:tc>
          <w:tcPr>
            <w:tcW w:w="2381" w:type="dxa"/>
            <w:shd w:val="clear" w:color="auto" w:fill="D9EAF7"/>
          </w:tcPr>
          <w:p w14:paraId="5D3D4C09" w14:textId="77777777" w:rsidR="00B47F1C" w:rsidRDefault="00C94276">
            <w:pPr>
              <w:spacing w:after="0" w:line="221" w:lineRule="auto"/>
            </w:pPr>
            <w:proofErr w:type="spellStart"/>
            <w:r>
              <w:rPr>
                <w:sz w:val="15"/>
              </w:rPr>
              <w:t>najneskôr</w:t>
            </w:r>
            <w:proofErr w:type="spellEnd"/>
            <w:r>
              <w:rPr>
                <w:sz w:val="15"/>
              </w:rPr>
              <w:t xml:space="preserve"> do 8 </w:t>
            </w:r>
            <w:proofErr w:type="spellStart"/>
            <w:r>
              <w:rPr>
                <w:sz w:val="15"/>
              </w:rPr>
              <w:t>kalendárnych</w:t>
            </w:r>
            <w:proofErr w:type="spellEnd"/>
            <w:r>
              <w:rPr>
                <w:sz w:val="15"/>
              </w:rPr>
              <w:t xml:space="preserve"> mesiacov od T</w:t>
            </w:r>
          </w:p>
        </w:tc>
        <w:tc>
          <w:tcPr>
            <w:tcW w:w="5216" w:type="dxa"/>
            <w:shd w:val="clear" w:color="auto" w:fill="D9EAF7"/>
          </w:tcPr>
          <w:p w14:paraId="139AE870" w14:textId="77777777" w:rsidR="00B47F1C" w:rsidRDefault="00C94276">
            <w:pPr>
              <w:spacing w:after="0" w:line="221" w:lineRule="auto"/>
            </w:pPr>
            <w:r>
              <w:rPr>
                <w:sz w:val="15"/>
              </w:rPr>
              <w:t>Dielo sa odovzdáva a preberá iba raz ako jeden funkčný celok po dokončení Časti 1 aj Časti 2.</w:t>
            </w:r>
          </w:p>
        </w:tc>
      </w:tr>
    </w:tbl>
    <w:p w14:paraId="3024A4E7" w14:textId="77777777" w:rsidR="00B47F1C" w:rsidRDefault="00C94276">
      <w:pPr>
        <w:spacing w:after="0" w:line="240" w:lineRule="auto"/>
      </w:pPr>
      <w:r>
        <w:rPr>
          <w:b/>
          <w:sz w:val="18"/>
        </w:rPr>
        <w:t>Záväzné pravidlá výkladu:</w:t>
      </w:r>
    </w:p>
    <w:p w14:paraId="08D70BB0" w14:textId="77777777" w:rsidR="00B47F1C" w:rsidRDefault="00C94276">
      <w:pPr>
        <w:pStyle w:val="Zoznamsodrkami"/>
        <w:spacing w:after="0" w:line="240" w:lineRule="auto"/>
      </w:pPr>
      <w:r>
        <w:rPr>
          <w:sz w:val="18"/>
        </w:rPr>
        <w:t>Časť 1 a Časť 2 sú iba časovým a vecným členením jedného nedeliteľného diela; nejde o samostatné časti obstarávania ani o samostatné preberanie.</w:t>
      </w:r>
    </w:p>
    <w:p w14:paraId="3CE80347" w14:textId="77777777" w:rsidR="00B47F1C" w:rsidRDefault="00C94276">
      <w:pPr>
        <w:pStyle w:val="Zoznamsodrkami"/>
        <w:spacing w:after="0" w:line="240" w:lineRule="auto"/>
      </w:pPr>
      <w:r>
        <w:rPr>
          <w:sz w:val="18"/>
        </w:rPr>
        <w:t>Časť 2 možno vykonávať súbežne s Časťou 1. Členenie neurčuje povinné poradie prác, ale najneskoršie termíny ich dokončenia.</w:t>
      </w:r>
    </w:p>
    <w:p w14:paraId="2BD2984E" w14:textId="77777777" w:rsidR="00B47F1C" w:rsidRDefault="00C94276">
      <w:pPr>
        <w:pStyle w:val="Zoznamsodrkami"/>
        <w:spacing w:after="0" w:line="240" w:lineRule="auto"/>
      </w:pPr>
      <w:r>
        <w:rPr>
          <w:sz w:val="18"/>
        </w:rPr>
        <w:t>Podrobný realizačný harmonogram, zápis v stavebnom denníku ani pokyn z kontrolného dňa nemôžu meniť štvormesačný a osemmesačný termín. Ich zmena je možná iba písomným dodatkom v súlade so zmluvou a pravidlami PPA.</w:t>
      </w:r>
    </w:p>
    <w:p w14:paraId="4929B630" w14:textId="77777777" w:rsidR="00B47F1C" w:rsidRDefault="00C94276">
      <w:pPr>
        <w:pStyle w:val="Zoznamsodrkami"/>
        <w:spacing w:after="0" w:line="240" w:lineRule="auto"/>
      </w:pPr>
      <w:r>
        <w:rPr>
          <w:sz w:val="18"/>
        </w:rPr>
        <w:t>Za nedodržanie Čiastkového termínu aj Konečného termínu sa uplatňujú samostatné zmluvné pokuty podľa článku 9 zmluvy.</w:t>
      </w:r>
    </w:p>
    <w:p w14:paraId="603F1EB6" w14:textId="77777777" w:rsidR="00B47F1C" w:rsidRDefault="00C94276">
      <w:pPr>
        <w:spacing w:after="0" w:line="240" w:lineRule="auto"/>
      </w:pPr>
      <w:r>
        <w:rPr>
          <w:b/>
          <w:sz w:val="18"/>
        </w:rPr>
        <w:t>Táto príloha tvorí neoddeliteľnú súčasť Zmluvy o dielo.</w:t>
      </w:r>
    </w:p>
    <w:sectPr w:rsidR="00B47F1C">
      <w:footerReference w:type="default" r:id="rId8"/>
      <w:pgSz w:w="12240" w:h="15840"/>
      <w:pgMar w:top="652" w:right="850" w:bottom="652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3702D" w14:textId="77777777" w:rsidR="00C94276" w:rsidRDefault="00C94276">
      <w:pPr>
        <w:spacing w:after="0" w:line="240" w:lineRule="auto"/>
      </w:pPr>
      <w:r>
        <w:separator/>
      </w:r>
    </w:p>
  </w:endnote>
  <w:endnote w:type="continuationSeparator" w:id="0">
    <w:p w14:paraId="1A39FC80" w14:textId="77777777" w:rsidR="00C94276" w:rsidRDefault="00C94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2E6DA" w14:textId="77777777" w:rsidR="00B47F1C" w:rsidRDefault="00C94276">
    <w:pPr>
      <w:pStyle w:val="Pta"/>
      <w:jc w:val="center"/>
    </w:pPr>
    <w:proofErr w:type="spellStart"/>
    <w:r>
      <w:rPr>
        <w:sz w:val="16"/>
      </w:rPr>
      <w:t>Príloha</w:t>
    </w:r>
    <w:proofErr w:type="spellEnd"/>
    <w:r>
      <w:rPr>
        <w:sz w:val="16"/>
      </w:rPr>
      <w:t xml:space="preserve"> č. 2 – </w:t>
    </w:r>
    <w:proofErr w:type="spellStart"/>
    <w:r>
      <w:rPr>
        <w:sz w:val="16"/>
      </w:rPr>
      <w:t>Záväzný</w:t>
    </w:r>
    <w:proofErr w:type="spellEnd"/>
    <w:r>
      <w:rPr>
        <w:sz w:val="16"/>
      </w:rPr>
      <w:t xml:space="preserve"> </w:t>
    </w:r>
    <w:proofErr w:type="spellStart"/>
    <w:r>
      <w:rPr>
        <w:sz w:val="16"/>
      </w:rPr>
      <w:t>rámcový</w:t>
    </w:r>
    <w:proofErr w:type="spellEnd"/>
    <w:r>
      <w:rPr>
        <w:sz w:val="16"/>
      </w:rPr>
      <w:t xml:space="preserve"> </w:t>
    </w:r>
    <w:proofErr w:type="spellStart"/>
    <w:r>
      <w:rPr>
        <w:sz w:val="16"/>
      </w:rPr>
      <w:t>harmonogram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E0EBD" w14:textId="77777777" w:rsidR="00C94276" w:rsidRDefault="00C94276">
      <w:pPr>
        <w:spacing w:after="0" w:line="240" w:lineRule="auto"/>
      </w:pPr>
      <w:r>
        <w:separator/>
      </w:r>
    </w:p>
  </w:footnote>
  <w:footnote w:type="continuationSeparator" w:id="0">
    <w:p w14:paraId="1C8E832D" w14:textId="77777777" w:rsidR="00C94276" w:rsidRDefault="00C942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zo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zo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Zo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Zo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88821313">
    <w:abstractNumId w:val="8"/>
  </w:num>
  <w:num w:numId="2" w16cid:durableId="1825275083">
    <w:abstractNumId w:val="6"/>
  </w:num>
  <w:num w:numId="3" w16cid:durableId="793908459">
    <w:abstractNumId w:val="5"/>
  </w:num>
  <w:num w:numId="4" w16cid:durableId="1965652141">
    <w:abstractNumId w:val="4"/>
  </w:num>
  <w:num w:numId="5" w16cid:durableId="1969622342">
    <w:abstractNumId w:val="7"/>
  </w:num>
  <w:num w:numId="6" w16cid:durableId="2106991690">
    <w:abstractNumId w:val="3"/>
  </w:num>
  <w:num w:numId="7" w16cid:durableId="2080205516">
    <w:abstractNumId w:val="2"/>
  </w:num>
  <w:num w:numId="8" w16cid:durableId="1578859363">
    <w:abstractNumId w:val="1"/>
  </w:num>
  <w:num w:numId="9" w16cid:durableId="1343632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B5404"/>
    <w:rsid w:val="00490B2E"/>
    <w:rsid w:val="00AA1D8D"/>
    <w:rsid w:val="00B47730"/>
    <w:rsid w:val="00B47F1C"/>
    <w:rsid w:val="00C94276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52AC5B"/>
  <w14:defaultImageDpi w14:val="300"/>
  <w15:docId w15:val="{9D348849-BE77-48C5-8372-808CDD4D3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693F"/>
    <w:rPr>
      <w:rFonts w:ascii="Aptos" w:hAnsi="Aptos"/>
      <w:sz w:val="21"/>
    </w:rPr>
  </w:style>
  <w:style w:type="paragraph" w:styleId="Nadpis1">
    <w:name w:val="heading 1"/>
    <w:basedOn w:val="Normlny"/>
    <w:next w:val="Normlny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618BF"/>
  </w:style>
  <w:style w:type="paragraph" w:styleId="Pta">
    <w:name w:val="footer"/>
    <w:basedOn w:val="Normlny"/>
    <w:link w:val="Pt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618BF"/>
  </w:style>
  <w:style w:type="paragraph" w:styleId="Bezriadkovania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ov">
    <w:name w:val="Title"/>
    <w:basedOn w:val="Normlny"/>
    <w:next w:val="Normlny"/>
    <w:link w:val="Nzo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ekzoznamu">
    <w:name w:val="List Paragraph"/>
    <w:basedOn w:val="Normlny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y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AA1D8D"/>
  </w:style>
  <w:style w:type="paragraph" w:styleId="Zkladntext2">
    <w:name w:val="Body Text 2"/>
    <w:basedOn w:val="Normlny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AA1D8D"/>
  </w:style>
  <w:style w:type="paragraph" w:styleId="Zkladntext3">
    <w:name w:val="Body Text 3"/>
    <w:basedOn w:val="Normlny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AA1D8D"/>
    <w:rPr>
      <w:sz w:val="16"/>
      <w:szCs w:val="16"/>
    </w:rPr>
  </w:style>
  <w:style w:type="paragraph" w:styleId="Zoznam">
    <w:name w:val="List"/>
    <w:basedOn w:val="Normlny"/>
    <w:uiPriority w:val="99"/>
    <w:unhideWhenUsed/>
    <w:rsid w:val="00AA1D8D"/>
    <w:pPr>
      <w:ind w:left="360" w:hanging="360"/>
      <w:contextualSpacing/>
    </w:pPr>
  </w:style>
  <w:style w:type="paragraph" w:styleId="Zoznam2">
    <w:name w:val="List 2"/>
    <w:basedOn w:val="Normlny"/>
    <w:uiPriority w:val="99"/>
    <w:unhideWhenUsed/>
    <w:rsid w:val="00326F90"/>
    <w:pPr>
      <w:ind w:left="720" w:hanging="360"/>
      <w:contextualSpacing/>
    </w:pPr>
  </w:style>
  <w:style w:type="paragraph" w:styleId="Zoznam3">
    <w:name w:val="List 3"/>
    <w:basedOn w:val="Normlny"/>
    <w:uiPriority w:val="99"/>
    <w:unhideWhenUsed/>
    <w:rsid w:val="00326F90"/>
    <w:pPr>
      <w:ind w:left="1080" w:hanging="360"/>
      <w:contextualSpacing/>
    </w:pPr>
  </w:style>
  <w:style w:type="paragraph" w:styleId="Zoznamsodrkami">
    <w:name w:val="List Bullet"/>
    <w:basedOn w:val="Normlny"/>
    <w:uiPriority w:val="99"/>
    <w:unhideWhenUsed/>
    <w:rsid w:val="00326F90"/>
    <w:pPr>
      <w:numPr>
        <w:numId w:val="1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326F90"/>
    <w:pPr>
      <w:numPr>
        <w:numId w:val="2"/>
      </w:numPr>
      <w:contextualSpacing/>
    </w:pPr>
  </w:style>
  <w:style w:type="paragraph" w:styleId="Zoznamsodrkami3">
    <w:name w:val="List Bullet 3"/>
    <w:basedOn w:val="Normlny"/>
    <w:uiPriority w:val="99"/>
    <w:unhideWhenUsed/>
    <w:rsid w:val="00326F90"/>
    <w:pPr>
      <w:numPr>
        <w:numId w:val="3"/>
      </w:numPr>
      <w:contextualSpacing/>
    </w:pPr>
  </w:style>
  <w:style w:type="paragraph" w:styleId="slovanzoznam">
    <w:name w:val="List Number"/>
    <w:basedOn w:val="Normlny"/>
    <w:uiPriority w:val="99"/>
    <w:unhideWhenUsed/>
    <w:rsid w:val="00326F90"/>
    <w:pPr>
      <w:numPr>
        <w:numId w:val="5"/>
      </w:numPr>
      <w:contextualSpacing/>
    </w:pPr>
  </w:style>
  <w:style w:type="paragraph" w:styleId="slovanzoznam2">
    <w:name w:val="List Number 2"/>
    <w:basedOn w:val="Normlny"/>
    <w:uiPriority w:val="99"/>
    <w:unhideWhenUsed/>
    <w:rsid w:val="0029639D"/>
    <w:pPr>
      <w:numPr>
        <w:numId w:val="6"/>
      </w:numPr>
      <w:contextualSpacing/>
    </w:pPr>
  </w:style>
  <w:style w:type="paragraph" w:styleId="slovanzoznam3">
    <w:name w:val="List Number 3"/>
    <w:basedOn w:val="Normlny"/>
    <w:uiPriority w:val="99"/>
    <w:unhideWhenUsed/>
    <w:rsid w:val="0029639D"/>
    <w:pPr>
      <w:numPr>
        <w:numId w:val="7"/>
      </w:numPr>
      <w:contextualSpacing/>
    </w:pPr>
  </w:style>
  <w:style w:type="paragraph" w:styleId="Pokraovaniezoznamu">
    <w:name w:val="List Continue"/>
    <w:basedOn w:val="Normlny"/>
    <w:uiPriority w:val="99"/>
    <w:unhideWhenUsed/>
    <w:rsid w:val="0029639D"/>
    <w:pPr>
      <w:spacing w:after="120"/>
      <w:ind w:left="360"/>
      <w:contextualSpacing/>
    </w:pPr>
  </w:style>
  <w:style w:type="paragraph" w:styleId="Pokraovaniezoznamu2">
    <w:name w:val="List Continue 2"/>
    <w:basedOn w:val="Normlny"/>
    <w:uiPriority w:val="99"/>
    <w:unhideWhenUsed/>
    <w:rsid w:val="0029639D"/>
    <w:pPr>
      <w:spacing w:after="120"/>
      <w:ind w:left="720"/>
      <w:contextualSpacing/>
    </w:pPr>
  </w:style>
  <w:style w:type="paragraph" w:styleId="Pokraovaniezoznamu3">
    <w:name w:val="List Continue 3"/>
    <w:basedOn w:val="Normlny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Predvolenpsmoodseku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cia">
    <w:name w:val="Quote"/>
    <w:basedOn w:val="Normlny"/>
    <w:next w:val="Normlny"/>
    <w:link w:val="CitciaChar"/>
    <w:uiPriority w:val="29"/>
    <w:qFormat/>
    <w:rsid w:val="00FC693F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Vrazn">
    <w:name w:val="Strong"/>
    <w:basedOn w:val="Predvolenpsmoodseku"/>
    <w:uiPriority w:val="22"/>
    <w:qFormat/>
    <w:rsid w:val="00FC693F"/>
    <w:rPr>
      <w:b/>
      <w:bCs/>
    </w:rPr>
  </w:style>
  <w:style w:type="character" w:styleId="Zvraznenie">
    <w:name w:val="Emphasis"/>
    <w:basedOn w:val="Predvolenpsmoodseku"/>
    <w:uiPriority w:val="20"/>
    <w:qFormat/>
    <w:rsid w:val="00FC693F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C693F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FC693F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FC693F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FC693F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FC693F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C693F"/>
    <w:pPr>
      <w:outlineLvl w:val="9"/>
    </w:pPr>
  </w:style>
  <w:style w:type="table" w:styleId="Mriekatabuky">
    <w:name w:val="Table Grid"/>
    <w:basedOn w:val="Normlnatabu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podfarbeniezvraznenie1">
    <w:name w:val="Light Shading Accent 1"/>
    <w:basedOn w:val="Normlnatabu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podfarbeniezvraznenie3">
    <w:name w:val="Light Shading Accent 3"/>
    <w:basedOn w:val="Normlnatabu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podfarbeniezvraznenie4">
    <w:name w:val="Light Shading Accent 4"/>
    <w:basedOn w:val="Normlnatabu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podfarbeniezvraznenie5">
    <w:name w:val="Light Shading Accent 5"/>
    <w:basedOn w:val="Normlnatabu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6">
    <w:name w:val="Light Shading Accent 6"/>
    <w:basedOn w:val="Normlnatabu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lzoznam">
    <w:name w:val="Light List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lzoznamzvraznenie1">
    <w:name w:val="Light List Accent 1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lzoznamzvraznenie2">
    <w:name w:val="Light List Accent 2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lzoznamzvraznenie3">
    <w:name w:val="Light List Accent 3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lzoznamzvraznenie4">
    <w:name w:val="Light List Accent 4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lzoznamzvraznenie5">
    <w:name w:val="Light List Accent 5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lzoznamzvraznenie6">
    <w:name w:val="Light List Accent 6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mrieka">
    <w:name w:val="Light Grid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mriekazvraznenie1">
    <w:name w:val="Light Grid Accent 1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mriekazvraznenie2">
    <w:name w:val="Light Grid Accent 2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mriekazvraznenie3">
    <w:name w:val="Light Grid Accent 3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mriekazvraznenie4">
    <w:name w:val="Light Grid Accent 4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mriekazvraznenie5">
    <w:name w:val="Light Grid Accent 5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mriekazvraznenie6">
    <w:name w:val="Light Grid Accent 6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rednpodfarbenie1">
    <w:name w:val="Medium Shading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2">
    <w:name w:val="Medium Shading 1 Accent 2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3">
    <w:name w:val="Medium Shading 1 Accent 3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4">
    <w:name w:val="Medium Shading 1 Accent 4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Farebnpodfarbenie1zvraznenie6">
    <w:name w:val="Medium Shading 1 Accent 6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2">
    <w:name w:val="Medium Shading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1">
    <w:name w:val="Medium Shading 2 Accent 1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2">
    <w:name w:val="Medium Shading 2 Accent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3">
    <w:name w:val="Medium Shading 2 Accent 3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4">
    <w:name w:val="Medium Shading 2 Accent 4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5">
    <w:name w:val="Medium Shading 2 Accent 5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arebnpodfarbenie2zvraznenie6">
    <w:name w:val="Medium Shading 2 Accent 6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zoznam1">
    <w:name w:val="Medium Lis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rednzoznam1zvraznenie1">
    <w:name w:val="Medium List 1 Accen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rednzoznam1zvraznenie2">
    <w:name w:val="Medium List 1 Accent 2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rednzoznam1zvraznenie3">
    <w:name w:val="Medium List 1 Accent 3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rednzoznam1zvraznenie4">
    <w:name w:val="Medium List 1 Accent 4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rednzoznam1zvraznenie5">
    <w:name w:val="Medium List 1 Accent 5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rednzoznam1zvraznenie6">
    <w:name w:val="Medium List 1 Accent 6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rednzoznam2">
    <w:name w:val="Medium Lis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1">
    <w:name w:val="Medium List 2 Accent 1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2">
    <w:name w:val="Medium List 2 Accen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3">
    <w:name w:val="Medium List 2 Accent 3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4">
    <w:name w:val="Medium List 2 Accent 4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5">
    <w:name w:val="Medium List 2 Accent 5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6">
    <w:name w:val="Medium List 2 Accent 6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mrieka1">
    <w:name w:val="Medium Grid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rednmrieka1zvraznenie1">
    <w:name w:val="Medium Grid 1 Accent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rednmrieka1zvraznenie2">
    <w:name w:val="Medium Grid 1 Accent 2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rednmrieka1zvraznenie3">
    <w:name w:val="Medium Grid 1 Accent 3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rednmrieka1zvraznenie4">
    <w:name w:val="Medium Grid 1 Accent 4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rednmrieka1zvraznenie5">
    <w:name w:val="Medium Grid 1 Accent 5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rednmrieka1zvraznenie6">
    <w:name w:val="Medium Grid 1 Accent 6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rednmrieka2">
    <w:name w:val="Medium Grid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1">
    <w:name w:val="Medium Grid 2 Accent 1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2">
    <w:name w:val="Medium Grid 2 Accent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3">
    <w:name w:val="Medium Grid 2 Accent 3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4">
    <w:name w:val="Medium Grid 2 Accent 4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5">
    <w:name w:val="Medium Grid 2 Accent 5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6">
    <w:name w:val="Medium Grid 2 Accent 6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3">
    <w:name w:val="Medium Grid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rednmrieka3zvraznenie1">
    <w:name w:val="Medium Grid 3 Accent 1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rednmrieka3zvraznenie2">
    <w:name w:val="Medium Grid 3 Accent 2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rednmrieka3zvraznenie3">
    <w:name w:val="Medium Grid 3 Accent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rednmrieka3zvraznenie4">
    <w:name w:val="Medium Grid 3 Accent 4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rednmrieka3zvraznenie5">
    <w:name w:val="Medium Grid 3 Accent 5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rednmrieka3zvraznenie6">
    <w:name w:val="Medium Grid 3 Accent 6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zoznam">
    <w:name w:val="Dark List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zoznamzvraznenie1">
    <w:name w:val="Dark List Accent 1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zoznamzvraznenie2">
    <w:name w:val="Dark List Accent 2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zoznamzvraznenie3">
    <w:name w:val="Dark List Accent 3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zoznamzvraznenie4">
    <w:name w:val="Dark List Accent 4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zoznamzvraznenie5">
    <w:name w:val="Dark List Accent 5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zoznamzvraznenie6">
    <w:name w:val="Dark List Accent 6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ebnpodfarbenie">
    <w:name w:val="Colorful Shading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1">
    <w:name w:val="Colorful Shading Accent 1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2">
    <w:name w:val="Colorful Shading Accent 2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3">
    <w:name w:val="Colorful Shading Accent 3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podfarbeniezvraznenie4">
    <w:name w:val="Colorful Shading Accent 4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5">
    <w:name w:val="Colorful Shading Accent 5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6">
    <w:name w:val="Colorful Shading Accent 6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zoznam">
    <w:name w:val="Colorful List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ebnzoznamzvraznenie1">
    <w:name w:val="Colorful List Accent 1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ebnzoznamzvraznenie2">
    <w:name w:val="Colorful List Accent 2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ebnzoznamzvraznenie3">
    <w:name w:val="Colorful List Accent 3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ebnzoznamzvraznenie4">
    <w:name w:val="Colorful List Accent 4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ebnzoznamzvraznenie5">
    <w:name w:val="Colorful List Accent 5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ebnzoznamzvraznenie6">
    <w:name w:val="Colorful List Accent 6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ebnmrieka">
    <w:name w:val="Colorful Grid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ebnmriekazvraznenie1">
    <w:name w:val="Colorful Grid Accent 1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ebnmriekazvraznenie2">
    <w:name w:val="Colorful Grid Accent 2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ebnmriekazvraznenie3">
    <w:name w:val="Colorful Grid Accent 3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mriekazvraznenie4">
    <w:name w:val="Colorful Grid Accent 4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ebnmriekazvraznenie5">
    <w:name w:val="Colorful Grid Accent 5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ebnmriekazvraznenie6">
    <w:name w:val="Colorful Grid Accent 6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č. 2 – Záväzný rámcový harmonogram</dc:title>
  <dc:subject/>
  <dc:creator/>
  <cp:keywords/>
  <dc:description>generated by python-docx</dc:description>
  <cp:lastModifiedBy>Martina Hájiková</cp:lastModifiedBy>
  <cp:revision>2</cp:revision>
  <dcterms:created xsi:type="dcterms:W3CDTF">2013-12-23T23:15:00Z</dcterms:created>
  <dcterms:modified xsi:type="dcterms:W3CDTF">2026-09-11T10:00:00Z</dcterms:modified>
  <cp:category/>
</cp:coreProperties>
</file>